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5F580FC9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>Cidade da Polícia</w:t>
      </w:r>
    </w:p>
    <w:p w14:paraId="0E5EB448" w14:textId="349E3A16" w:rsidR="00B879C3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>Avenida Dom Helder Câmara nº 2066 – Maria da Graça</w:t>
      </w:r>
    </w:p>
    <w:p w14:paraId="6236E8F9" w14:textId="2253A01C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>Rio de Janeiro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2FB8EEF5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C4343F">
        <w:rPr>
          <w:color w:val="000000"/>
        </w:rPr>
        <w:t>Contratação de execução de obras de construção de cobertura para as viaturas nas dependências da Coordenadoria de Recursos Especiais - CORE, na Cidade da Polícia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203FEE"/>
    <w:rsid w:val="00291169"/>
    <w:rsid w:val="003328C5"/>
    <w:rsid w:val="00376350"/>
    <w:rsid w:val="004A01AC"/>
    <w:rsid w:val="004C64F2"/>
    <w:rsid w:val="00544BCA"/>
    <w:rsid w:val="00584FF4"/>
    <w:rsid w:val="00631BBD"/>
    <w:rsid w:val="006B54A0"/>
    <w:rsid w:val="006F1618"/>
    <w:rsid w:val="00796B6D"/>
    <w:rsid w:val="007A7BA1"/>
    <w:rsid w:val="008128FA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15</cp:revision>
  <dcterms:created xsi:type="dcterms:W3CDTF">2022-07-20T20:06:00Z</dcterms:created>
  <dcterms:modified xsi:type="dcterms:W3CDTF">2023-11-17T14:49:00Z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